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DAC99" w14:textId="0794454E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（野菜様式）</w:t>
      </w:r>
    </w:p>
    <w:p w14:paraId="6C034D02" w14:textId="5E3388AB" w:rsidR="00642C17" w:rsidRDefault="00FD1859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spacing w:line="460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令和</w:t>
      </w:r>
      <w:r w:rsidR="00642C17">
        <w:rPr>
          <w:rFonts w:hint="eastAsia"/>
          <w:spacing w:val="2"/>
          <w:sz w:val="32"/>
          <w:szCs w:val="32"/>
        </w:rPr>
        <w:t xml:space="preserve">　</w:t>
      </w:r>
      <w:r w:rsidR="00642C17">
        <w:rPr>
          <w:sz w:val="32"/>
          <w:szCs w:val="32"/>
        </w:rPr>
        <w:t xml:space="preserve">  </w:t>
      </w:r>
      <w:r w:rsidR="00642C17">
        <w:rPr>
          <w:rFonts w:hint="eastAsia"/>
          <w:spacing w:val="2"/>
          <w:sz w:val="32"/>
          <w:szCs w:val="32"/>
        </w:rPr>
        <w:t>年度普及展示ほ</w:t>
      </w:r>
      <w:r w:rsidR="00E85F19">
        <w:rPr>
          <w:rFonts w:hint="eastAsia"/>
          <w:spacing w:val="2"/>
          <w:sz w:val="32"/>
          <w:szCs w:val="32"/>
        </w:rPr>
        <w:t>成績書</w:t>
      </w:r>
    </w:p>
    <w:p w14:paraId="55AE475A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</w:p>
    <w:p w14:paraId="19F42AD4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課題名　　　　　　　　　　　　　　　　（資材名</w:t>
      </w:r>
      <w:r>
        <w:t xml:space="preserve">   </w:t>
      </w:r>
      <w:r>
        <w:rPr>
          <w:rFonts w:hint="eastAsia"/>
        </w:rPr>
        <w:t xml:space="preserve">　　　　　）</w:t>
      </w:r>
    </w:p>
    <w:p w14:paraId="471BC668" w14:textId="77777777" w:rsidR="00642C17" w:rsidRDefault="00642C17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担当者</w:t>
      </w:r>
      <w:r>
        <w:t xml:space="preserve">              </w:t>
      </w:r>
      <w:r>
        <w:rPr>
          <w:rFonts w:hint="eastAsia"/>
        </w:rPr>
        <w:t>○○農業普及指導センター　　　氏名</w:t>
      </w:r>
      <w:r>
        <w:t xml:space="preserve">  </w:t>
      </w:r>
      <w:r>
        <w:rPr>
          <w:rFonts w:hint="eastAsia"/>
        </w:rPr>
        <w:t>○○○○</w:t>
      </w:r>
    </w:p>
    <w:p w14:paraId="0F9750E3" w14:textId="77777777" w:rsidR="00642C17" w:rsidRDefault="00642C17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</w:t>
      </w:r>
      <w:r>
        <w:t xml:space="preserve">  </w:t>
      </w:r>
      <w:r>
        <w:rPr>
          <w:rFonts w:hint="eastAsia"/>
        </w:rPr>
        <w:t>担当農家</w:t>
      </w:r>
      <w:r>
        <w:t xml:space="preserve">            </w:t>
      </w:r>
      <w:r>
        <w:rPr>
          <w:rFonts w:hint="eastAsia"/>
        </w:rPr>
        <w:t>（住所・氏名）</w:t>
      </w:r>
    </w:p>
    <w:p w14:paraId="3B06C46B" w14:textId="77777777" w:rsidR="00642C17" w:rsidRDefault="00642C17">
      <w:pPr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　目　的</w:t>
      </w:r>
    </w:p>
    <w:p w14:paraId="0DAA204E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</w:pPr>
      <w:r>
        <w:rPr>
          <w:rFonts w:hint="eastAsia"/>
        </w:rPr>
        <w:t>５　方　　　　法</w:t>
      </w:r>
    </w:p>
    <w:p w14:paraId="52A6053C" w14:textId="77777777" w:rsidR="00220228" w:rsidRPr="00220228" w:rsidRDefault="00220228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（１）設置場所</w:t>
      </w:r>
    </w:p>
    <w:p w14:paraId="4623B1C7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220228">
        <w:rPr>
          <w:rFonts w:hint="eastAsia"/>
        </w:rPr>
        <w:t>２</w:t>
      </w:r>
      <w:r>
        <w:rPr>
          <w:rFonts w:hint="eastAsia"/>
        </w:rPr>
        <w:t>）ほ場条件</w:t>
      </w:r>
    </w:p>
    <w:p w14:paraId="6267F71B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 xml:space="preserve">ア　展示面積　　</w:t>
      </w:r>
      <w:r>
        <w:t xml:space="preserve">  </w:t>
      </w:r>
      <w:r>
        <w:rPr>
          <w:rFonts w:hint="eastAsia"/>
        </w:rPr>
        <w:t xml:space="preserve">　イ　土</w:t>
      </w:r>
      <w:r>
        <w:t xml:space="preserve">  </w:t>
      </w:r>
      <w:r>
        <w:rPr>
          <w:rFonts w:hint="eastAsia"/>
        </w:rPr>
        <w:t>性</w:t>
      </w:r>
      <w:r>
        <w:t xml:space="preserve">      </w:t>
      </w:r>
      <w:r>
        <w:rPr>
          <w:rFonts w:hint="eastAsia"/>
        </w:rPr>
        <w:t xml:space="preserve">　ウ　</w:t>
      </w:r>
      <w:r w:rsidR="00E85F19">
        <w:rPr>
          <w:rFonts w:hint="eastAsia"/>
        </w:rPr>
        <w:t>施用前（</w:t>
      </w:r>
      <w:r>
        <w:t xml:space="preserve">pH    EC   </w:t>
      </w:r>
      <w:r w:rsidR="00E85F19">
        <w:rPr>
          <w:rFonts w:hint="eastAsia"/>
        </w:rPr>
        <w:t>）</w:t>
      </w:r>
      <w:r>
        <w:t xml:space="preserve">   </w:t>
      </w:r>
      <w:r>
        <w:rPr>
          <w:rFonts w:hint="eastAsia"/>
        </w:rPr>
        <w:t>エ　排水良否</w:t>
      </w:r>
    </w:p>
    <w:p w14:paraId="497FC284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オ　地下水位</w:t>
      </w:r>
      <w:r>
        <w:t xml:space="preserve">      </w:t>
      </w:r>
      <w:r>
        <w:rPr>
          <w:rFonts w:hint="eastAsia"/>
        </w:rPr>
        <w:t xml:space="preserve">　カ　前作物</w:t>
      </w:r>
      <w:r>
        <w:t xml:space="preserve">      </w:t>
      </w:r>
      <w:r>
        <w:rPr>
          <w:rFonts w:hint="eastAsia"/>
        </w:rPr>
        <w:t xml:space="preserve">　キ　標</w:t>
      </w:r>
      <w:r>
        <w:t xml:space="preserve">  </w:t>
      </w:r>
      <w:r>
        <w:rPr>
          <w:rFonts w:hint="eastAsia"/>
        </w:rPr>
        <w:t>高</w:t>
      </w:r>
      <w:r>
        <w:t xml:space="preserve">        </w:t>
      </w:r>
      <w:r>
        <w:rPr>
          <w:rFonts w:hint="eastAsia"/>
        </w:rPr>
        <w:t>ク　施設</w:t>
      </w:r>
      <w:r>
        <w:t>(</w:t>
      </w:r>
      <w:r>
        <w:rPr>
          <w:rFonts w:hint="eastAsia"/>
        </w:rPr>
        <w:t>型式</w:t>
      </w:r>
      <w:r>
        <w:t>)</w:t>
      </w:r>
    </w:p>
    <w:p w14:paraId="45561785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220228">
        <w:rPr>
          <w:rFonts w:hint="eastAsia"/>
        </w:rPr>
        <w:t>３</w:t>
      </w:r>
      <w:r>
        <w:rPr>
          <w:rFonts w:hint="eastAsia"/>
        </w:rPr>
        <w:t>）品種･台木</w:t>
      </w:r>
    </w:p>
    <w:p w14:paraId="12D133CB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220228">
        <w:rPr>
          <w:rFonts w:hint="eastAsia"/>
        </w:rPr>
        <w:t>４</w:t>
      </w:r>
      <w:r>
        <w:rPr>
          <w:rFonts w:hint="eastAsia"/>
        </w:rPr>
        <w:t>）展示方法</w:t>
      </w:r>
    </w:p>
    <w:p w14:paraId="7EBCAA7D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ア　播種及び定植月日</w:t>
      </w:r>
      <w:r>
        <w:t xml:space="preserve">   </w:t>
      </w:r>
      <w:r>
        <w:rPr>
          <w:rFonts w:hint="eastAsia"/>
        </w:rPr>
        <w:t>播種</w:t>
      </w:r>
      <w:r>
        <w:t xml:space="preserve">  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  <w:r>
        <w:t xml:space="preserve">    </w:t>
      </w:r>
      <w:r>
        <w:rPr>
          <w:rFonts w:hint="eastAsia"/>
        </w:rPr>
        <w:t>定植</w:t>
      </w:r>
      <w:r>
        <w:t xml:space="preserve">  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p w14:paraId="26E58302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イ　栽植密度</w:t>
      </w:r>
      <w:r>
        <w:t xml:space="preserve">       </w:t>
      </w:r>
      <w:r>
        <w:rPr>
          <w:rFonts w:hint="eastAsia"/>
        </w:rPr>
        <w:t>㎝</w:t>
      </w:r>
      <w:r>
        <w:t xml:space="preserve"> </w:t>
      </w:r>
      <w:r>
        <w:rPr>
          <w:rFonts w:hint="eastAsia"/>
        </w:rPr>
        <w:t>×</w:t>
      </w:r>
      <w:r>
        <w:t xml:space="preserve">     </w:t>
      </w:r>
      <w:r>
        <w:rPr>
          <w:rFonts w:hint="eastAsia"/>
        </w:rPr>
        <w:t>㎝</w:t>
      </w:r>
      <w:r>
        <w:t xml:space="preserve">            </w:t>
      </w:r>
      <w:r>
        <w:rPr>
          <w:rFonts w:hint="eastAsia"/>
        </w:rPr>
        <w:t>株</w:t>
      </w:r>
      <w:r>
        <w:t>/10</w:t>
      </w:r>
      <w:r>
        <w:rPr>
          <w:rFonts w:hint="eastAsia"/>
        </w:rPr>
        <w:t>ｱｰﾙ</w:t>
      </w:r>
    </w:p>
    <w:p w14:paraId="4DDFB878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ウ　主要管理作業</w:t>
      </w:r>
      <w:r>
        <w:t>(</w:t>
      </w:r>
      <w:r>
        <w:rPr>
          <w:rFonts w:hint="eastAsia"/>
        </w:rPr>
        <w:t>時期･方法</w:t>
      </w:r>
      <w:r>
        <w:t>)</w:t>
      </w:r>
    </w:p>
    <w:p w14:paraId="1AB4BE25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エ　かん水方法</w:t>
      </w:r>
    </w:p>
    <w:p w14:paraId="22EF5029" w14:textId="77777777" w:rsidR="00642C17" w:rsidRDefault="00642C17">
      <w:pPr>
        <w:pStyle w:val="a3"/>
        <w:tabs>
          <w:tab w:val="left" w:pos="1044"/>
          <w:tab w:val="left" w:pos="2090"/>
          <w:tab w:val="left" w:pos="3134"/>
          <w:tab w:val="left" w:pos="4180"/>
          <w:tab w:val="left" w:pos="5224"/>
          <w:tab w:val="left" w:pos="6270"/>
          <w:tab w:val="left" w:pos="7314"/>
          <w:tab w:val="left" w:pos="8360"/>
        </w:tabs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>オ　温度管理</w:t>
      </w:r>
    </w:p>
    <w:p w14:paraId="51E2E9A5" w14:textId="77777777" w:rsidR="00642C17" w:rsidRDefault="00642C1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220228">
        <w:rPr>
          <w:rFonts w:hint="eastAsia"/>
        </w:rPr>
        <w:t>５</w:t>
      </w:r>
      <w:r w:rsidR="00E85F19">
        <w:rPr>
          <w:rFonts w:hint="eastAsia"/>
        </w:rPr>
        <w:t>）施用及び施肥</w:t>
      </w:r>
      <w:r>
        <w:t xml:space="preserve">                                                </w:t>
      </w:r>
      <w:r>
        <w:rPr>
          <w:rFonts w:hint="eastAsia"/>
        </w:rPr>
        <w:t>（単位：</w:t>
      </w:r>
      <w:r>
        <w:t>kg/10a</w:t>
      </w:r>
      <w:r>
        <w:rPr>
          <w:rFonts w:hint="eastAsia"/>
        </w:rPr>
        <w:t>）</w:t>
      </w:r>
    </w:p>
    <w:tbl>
      <w:tblPr>
        <w:tblW w:w="0" w:type="auto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0"/>
        <w:gridCol w:w="756"/>
        <w:gridCol w:w="756"/>
        <w:gridCol w:w="324"/>
        <w:gridCol w:w="1620"/>
        <w:gridCol w:w="323"/>
        <w:gridCol w:w="756"/>
        <w:gridCol w:w="756"/>
        <w:gridCol w:w="846"/>
        <w:gridCol w:w="709"/>
        <w:gridCol w:w="1361"/>
      </w:tblGrid>
      <w:tr w:rsidR="00642C17" w14:paraId="5117AFE8" w14:textId="77777777" w:rsidTr="00A452D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3F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2A9B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50E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月日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8A8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肥料（資材）名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4A5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AC2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Ｎ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09E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Ｐ</w:t>
            </w:r>
            <w:r>
              <w:rPr>
                <w:rFonts w:hint="eastAsia"/>
                <w:spacing w:val="-2"/>
                <w:vertAlign w:val="subscript"/>
              </w:rPr>
              <w:t>２</w:t>
            </w:r>
            <w:r>
              <w:rPr>
                <w:rFonts w:hint="eastAsia"/>
              </w:rPr>
              <w:t>Ｏ</w:t>
            </w:r>
            <w:r>
              <w:rPr>
                <w:rFonts w:hint="eastAsia"/>
                <w:spacing w:val="-2"/>
                <w:vertAlign w:val="subscript"/>
              </w:rPr>
              <w:t>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52BC" w14:textId="77777777" w:rsidR="00642C17" w:rsidRDefault="00000000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w:pict w14:anchorId="285776C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.2pt;margin-top:13.85pt;width:97.5pt;height:95.25pt;z-index:1;mso-position-horizontal-relative:text;mso-position-vertical-relative:text">
                  <v:textbox inset="5.85pt,.7pt,5.85pt,.7pt">
                    <w:txbxContent>
                      <w:p w14:paraId="09D29C1E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E85F19">
                          <w:rPr>
                            <w:rFonts w:hint="eastAsia"/>
                          </w:rPr>
                          <w:t>備考例</w:t>
                        </w:r>
                      </w:p>
                      <w:p w14:paraId="6FBBE27E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E85F19">
                          <w:rPr>
                            <w:rFonts w:hint="eastAsia"/>
                          </w:rPr>
                          <w:t>アルカリ度</w:t>
                        </w:r>
                        <w:r w:rsidRPr="00E85F19">
                          <w:t>35</w:t>
                        </w:r>
                        <w:r w:rsidRPr="00E85F19">
                          <w:rPr>
                            <w:rFonts w:hint="eastAsia"/>
                          </w:rPr>
                          <w:t>％</w:t>
                        </w:r>
                      </w:p>
                      <w:p w14:paraId="15ECF370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E85F19">
                          <w:t>Mg12kg</w:t>
                        </w:r>
                        <w:r w:rsidRPr="00E85F19">
                          <w:rPr>
                            <w:rFonts w:hint="eastAsia"/>
                          </w:rPr>
                          <w:t>、</w:t>
                        </w:r>
                      </w:p>
                      <w:p w14:paraId="3E43C650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E85F19">
                          <w:t>Mn0.2kg</w:t>
                        </w:r>
                        <w:r w:rsidRPr="00E85F19">
                          <w:rPr>
                            <w:rFonts w:hint="eastAsia"/>
                          </w:rPr>
                          <w:t>、</w:t>
                        </w:r>
                      </w:p>
                      <w:p w14:paraId="491BAE7F" w14:textId="77777777" w:rsidR="00E85F19" w:rsidRDefault="00E85F19" w:rsidP="00E85F19">
                        <w:r w:rsidRPr="00E85F19">
                          <w:t>B0.2kg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642C17">
              <w:rPr>
                <w:rFonts w:hint="eastAsia"/>
              </w:rPr>
              <w:t>Ｋ</w:t>
            </w:r>
            <w:r w:rsidR="00642C17">
              <w:rPr>
                <w:rFonts w:hint="eastAsia"/>
                <w:spacing w:val="-2"/>
                <w:vertAlign w:val="subscript"/>
              </w:rPr>
              <w:t>２</w:t>
            </w:r>
            <w:r w:rsidR="00642C17">
              <w:rPr>
                <w:rFonts w:hint="eastAsia"/>
              </w:rPr>
              <w:t>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C725" w14:textId="77777777" w:rsidR="00642C17" w:rsidRDefault="00E85F19" w:rsidP="00E85F19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備考</w:t>
            </w:r>
          </w:p>
        </w:tc>
      </w:tr>
      <w:tr w:rsidR="00642C17" w14:paraId="3C33FF01" w14:textId="77777777" w:rsidTr="00A452DA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C42C7A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4EB0BF4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展</w:t>
            </w:r>
          </w:p>
          <w:p w14:paraId="08365BF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示</w:t>
            </w:r>
          </w:p>
          <w:p w14:paraId="2873FCA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区</w:t>
            </w:r>
          </w:p>
          <w:p w14:paraId="04AFB922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FE8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04F97AB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1E4E4B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75272974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336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0B72F1D" w14:textId="77777777" w:rsidR="00E85F19" w:rsidRDefault="00E85F19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E9761FF" w14:textId="77777777" w:rsidR="00E85F19" w:rsidRDefault="00E85F19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50975438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5886C75A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59AADD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413B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CD25C8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D33CC88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73A471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97E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0CA437F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13037C0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07BA2A6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8A8B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5A19C0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3EBDF2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ADDE6B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CFC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776C75A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12CA8FEE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000054D6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522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0B32CBA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6BAA89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1E39A0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63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195E9D0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5DBACCF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6256EFA2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</w:tr>
      <w:tr w:rsidR="00642C17" w14:paraId="1AA3652C" w14:textId="77777777" w:rsidTr="00A452DA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AB72" w14:textId="77777777" w:rsidR="00642C17" w:rsidRDefault="00642C17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556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94A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981EB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0A02B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17FBE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A92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541C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6D18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110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152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</w:tr>
      <w:tr w:rsidR="00642C17" w14:paraId="5B4A8150" w14:textId="77777777" w:rsidTr="00A452DA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6D0C3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779B162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慣</w:t>
            </w:r>
          </w:p>
          <w:p w14:paraId="5296C09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行</w:t>
            </w:r>
          </w:p>
          <w:p w14:paraId="7C66247B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区</w:t>
            </w:r>
          </w:p>
          <w:p w14:paraId="7592908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38A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基肥</w:t>
            </w:r>
          </w:p>
          <w:p w14:paraId="4CEE1026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63EE70B2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追肥</w:t>
            </w:r>
          </w:p>
          <w:p w14:paraId="4D665646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8DB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6530F6CC" w14:textId="77777777" w:rsidR="00E85F19" w:rsidRDefault="00E85F19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278EA18" w14:textId="77777777" w:rsidR="00E85F19" w:rsidRDefault="00E85F19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13B9697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B0FF6C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6C5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99ADC6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5057DD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EB9334F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633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6AD54F8E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1459F03A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59619B7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04A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FDF98B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7FF354FC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5104EF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61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740380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65B11FB4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571A3613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502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BA45BBB" w14:textId="77777777" w:rsidR="00642C17" w:rsidRDefault="00000000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w:pict w14:anchorId="3E73B57C">
                <v:shape id="_x0000_s1028" type="#_x0000_t202" style="position:absolute;margin-left:5.95pt;margin-top:14.35pt;width:99.75pt;height:54.75pt;z-index:2">
                  <v:textbox inset="5.85pt,.7pt,5.85pt,.7pt">
                    <w:txbxContent>
                      <w:p w14:paraId="5C1C03EF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>
                          <w:rPr>
                            <w:rFonts w:hint="eastAsia"/>
                          </w:rPr>
                          <w:t>備考</w:t>
                        </w:r>
                        <w:r w:rsidRPr="00E85F19">
                          <w:rPr>
                            <w:rFonts w:hint="eastAsia"/>
                          </w:rPr>
                          <w:t>例</w:t>
                        </w:r>
                      </w:p>
                      <w:p w14:paraId="39CFDF7C" w14:textId="77777777" w:rsidR="00E85F19" w:rsidRPr="00E85F19" w:rsidRDefault="00E85F19" w:rsidP="00E85F19">
                        <w:pPr>
                          <w:suppressAutoHyphens w:val="0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E85F19">
                          <w:rPr>
                            <w:rFonts w:hint="eastAsia"/>
                          </w:rPr>
                          <w:t>倍率</w:t>
                        </w:r>
                        <w:r w:rsidRPr="00E85F19">
                          <w:t>16</w:t>
                        </w:r>
                        <w:r w:rsidRPr="00E85F19">
                          <w:rPr>
                            <w:rFonts w:hint="eastAsia"/>
                          </w:rPr>
                          <w:t>倍</w:t>
                        </w:r>
                      </w:p>
                      <w:p w14:paraId="76BD74F4" w14:textId="77777777" w:rsidR="00E85F19" w:rsidRDefault="00E85F19" w:rsidP="00E85F19">
                        <w:r w:rsidRPr="00E85F19">
                          <w:rPr>
                            <w:rFonts w:hint="eastAsia"/>
                          </w:rPr>
                          <w:t>ドローン散布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14:paraId="7B5FE8ED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2977BDB1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F0DC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458925A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397649B7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  <w:p w14:paraId="09F6C75A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</w:tr>
      <w:tr w:rsidR="00642C17" w14:paraId="2A76B19C" w14:textId="77777777" w:rsidTr="00A452DA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CE0D" w14:textId="77777777" w:rsidR="00642C17" w:rsidRDefault="00642C17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A97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計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B41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－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68DE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6DBB2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13C15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A99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46B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EFA9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1908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44D0" w14:textId="77777777" w:rsidR="00642C17" w:rsidRDefault="00642C17">
            <w:pPr>
              <w:pStyle w:val="a3"/>
              <w:suppressAutoHyphens/>
              <w:kinsoku w:val="0"/>
              <w:wordWrap w:val="0"/>
              <w:overflowPunct w:val="0"/>
              <w:autoSpaceDE w:val="0"/>
              <w:autoSpaceDN w:val="0"/>
              <w:spacing w:line="350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2688838B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ascii="ＭＳ ゴシック" w:eastAsia="ＭＳ ゴシック" w:hAnsi="ＭＳ ゴシック" w:cs="Times New Roman"/>
          <w:spacing w:val="2"/>
          <w:sz w:val="20"/>
          <w:szCs w:val="20"/>
        </w:rPr>
      </w:pPr>
      <w:r w:rsidRPr="00E85F19">
        <w:rPr>
          <w:rFonts w:ascii="ＭＳ ゴシック" w:eastAsia="ＭＳ ゴシック" w:hAnsi="ＭＳ ゴシック"/>
          <w:sz w:val="20"/>
          <w:szCs w:val="20"/>
        </w:rPr>
        <w:t xml:space="preserve">   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Pr="00E85F19">
        <w:rPr>
          <w:rFonts w:ascii="ＭＳ ゴシック" w:eastAsia="ＭＳ ゴシック" w:hAnsi="ＭＳ ゴシック" w:hint="eastAsia"/>
          <w:sz w:val="20"/>
          <w:szCs w:val="20"/>
          <w:u w:color="000000"/>
        </w:rPr>
        <w:t>葉面散布剤は、量と成分を記入した上、「備考」に倍率と散布方法を記入する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14:paraId="5E2B251D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ind w:left="515" w:hangingChars="250" w:hanging="515"/>
        <w:rPr>
          <w:rFonts w:ascii="ＭＳ ゴシック" w:eastAsia="ＭＳ ゴシック" w:hAnsi="ＭＳ ゴシック"/>
          <w:sz w:val="20"/>
          <w:szCs w:val="20"/>
        </w:rPr>
      </w:pPr>
      <w:r w:rsidRPr="00E85F19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E85F19"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E85F19">
        <w:rPr>
          <w:rFonts w:ascii="ＭＳ ゴシック" w:eastAsia="ＭＳ ゴシック" w:hAnsi="ＭＳ ゴシック" w:hint="eastAsia"/>
          <w:sz w:val="20"/>
          <w:szCs w:val="20"/>
          <w:u w:color="000000"/>
        </w:rPr>
        <w:t>土壌改良資材は、「備考」にアルカリ度（％）を記入する。併せて、３要素以外の保証分について</w:t>
      </w:r>
      <w:r w:rsidRPr="00E85F19">
        <w:rPr>
          <w:rFonts w:ascii="ＭＳ ゴシック" w:eastAsia="ＭＳ ゴシック" w:hAnsi="ＭＳ ゴシック"/>
          <w:sz w:val="20"/>
          <w:szCs w:val="20"/>
          <w:u w:color="000000"/>
        </w:rPr>
        <w:t>10</w:t>
      </w:r>
      <w:r w:rsidRPr="00E85F19">
        <w:rPr>
          <w:rFonts w:ascii="ＭＳ ゴシック" w:eastAsia="ＭＳ ゴシック" w:hAnsi="ＭＳ ゴシック" w:hint="eastAsia"/>
          <w:sz w:val="20"/>
          <w:szCs w:val="20"/>
          <w:u w:color="000000"/>
        </w:rPr>
        <w:t>ａ当たりの成分量（</w:t>
      </w:r>
      <w:r w:rsidRPr="00E85F19">
        <w:rPr>
          <w:rFonts w:ascii="ＭＳ ゴシック" w:eastAsia="ＭＳ ゴシック" w:hAnsi="ＭＳ ゴシック"/>
          <w:sz w:val="20"/>
          <w:szCs w:val="20"/>
          <w:u w:color="000000"/>
        </w:rPr>
        <w:t>kg</w:t>
      </w:r>
      <w:r w:rsidRPr="00E85F19">
        <w:rPr>
          <w:rFonts w:ascii="ＭＳ ゴシック" w:eastAsia="ＭＳ ゴシック" w:hAnsi="ＭＳ ゴシック" w:hint="eastAsia"/>
          <w:sz w:val="20"/>
          <w:szCs w:val="20"/>
          <w:u w:color="000000"/>
        </w:rPr>
        <w:t>）に換算してして記述する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。</w:t>
      </w:r>
      <w:r w:rsidRPr="00E85F19">
        <w:rPr>
          <w:rFonts w:ascii="ＭＳ ゴシック" w:eastAsia="ＭＳ ゴシック" w:hAnsi="ＭＳ ゴシック" w:hint="eastAsia"/>
          <w:sz w:val="20"/>
          <w:szCs w:val="20"/>
          <w:u w:color="000000"/>
        </w:rPr>
        <w:t>その際、散布量はアルカリ成分が同等になるように設計する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14:paraId="383BBD86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ind w:leftChars="50" w:left="520" w:hangingChars="200" w:hanging="412"/>
        <w:rPr>
          <w:rFonts w:ascii="ＭＳ ゴシック" w:eastAsia="ＭＳ ゴシック" w:hAnsi="ＭＳ ゴシック"/>
          <w:sz w:val="20"/>
          <w:szCs w:val="20"/>
        </w:rPr>
      </w:pPr>
      <w:r w:rsidRPr="00E85F19">
        <w:rPr>
          <w:rFonts w:ascii="ＭＳ ゴシック" w:eastAsia="ＭＳ ゴシック" w:hAnsi="ＭＳ ゴシック"/>
          <w:sz w:val="20"/>
          <w:szCs w:val="20"/>
        </w:rPr>
        <w:t xml:space="preserve">  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※育苗資材の場合は、資材名１リットルないしは１</w:t>
      </w:r>
      <w:r w:rsidRPr="00E85F19">
        <w:rPr>
          <w:rFonts w:ascii="ＭＳ ゴシック" w:eastAsia="ＭＳ ゴシック" w:hAnsi="ＭＳ ゴシック"/>
          <w:sz w:val="20"/>
          <w:szCs w:val="20"/>
        </w:rPr>
        <w:t>kg</w:t>
      </w:r>
      <w:r w:rsidRPr="00E85F19">
        <w:rPr>
          <w:rFonts w:ascii="ＭＳ ゴシック" w:eastAsia="ＭＳ ゴシック" w:hAnsi="ＭＳ ゴシック" w:hint="eastAsia"/>
          <w:sz w:val="20"/>
          <w:szCs w:val="20"/>
        </w:rPr>
        <w:t>あたりの成分量を記載する。</w:t>
      </w:r>
    </w:p>
    <w:p w14:paraId="429DF272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lastRenderedPageBreak/>
        <w:t>（６）病害虫防除</w:t>
      </w:r>
    </w:p>
    <w:p w14:paraId="406ACB3E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5C03DC78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1B2DC45C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（７）収穫期</w:t>
      </w:r>
    </w:p>
    <w:p w14:paraId="45D2ABF4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3E1B81C3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404DF2AD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（８）気象条件及び特記事項</w:t>
      </w:r>
    </w:p>
    <w:p w14:paraId="0963B2B7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50CBBE1E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3349621C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５　結果及び考察</w:t>
      </w:r>
    </w:p>
    <w:p w14:paraId="2145A484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 xml:space="preserve">　（担当農家）</w:t>
      </w:r>
    </w:p>
    <w:p w14:paraId="07C5155A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2ED0D66B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1CBE8D9B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554B38C4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 xml:space="preserve">　（普及指導センター）</w:t>
      </w:r>
    </w:p>
    <w:p w14:paraId="41CD9FA7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0872AB74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32283631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4BB3C05B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６　評価（慣行と比較して）</w:t>
      </w:r>
    </w:p>
    <w:p w14:paraId="49E732A2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（１）肥料（資材）的効果：　　１　優る　　　　２　同程度　　　　３　劣る</w:t>
      </w:r>
    </w:p>
    <w:p w14:paraId="458E46F2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 xml:space="preserve">（２）作　　業　　性　</w:t>
      </w:r>
      <w:r w:rsidRPr="00E85F19">
        <w:t xml:space="preserve">  </w:t>
      </w:r>
      <w:r w:rsidRPr="00E85F19">
        <w:rPr>
          <w:rFonts w:hint="eastAsia"/>
        </w:rPr>
        <w:t>：　　１　優る　　　　２　同程度　　　　３　劣る</w:t>
      </w:r>
    </w:p>
    <w:p w14:paraId="7E44806F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t xml:space="preserve">   </w:t>
      </w:r>
      <w:r w:rsidRPr="00E85F19">
        <w:rPr>
          <w:sz w:val="18"/>
          <w:szCs w:val="18"/>
        </w:rPr>
        <w:t xml:space="preserve"> </w:t>
      </w:r>
      <w:r w:rsidRPr="00E85F19">
        <w:rPr>
          <w:rFonts w:hint="eastAsia"/>
          <w:sz w:val="18"/>
          <w:szCs w:val="18"/>
        </w:rPr>
        <w:t>（注）資材的効果は生理障害防止等の効果を目的とした場合に判定する。</w:t>
      </w:r>
      <w:r w:rsidRPr="00E85F19">
        <w:rPr>
          <w:rFonts w:hint="eastAsia"/>
        </w:rPr>
        <w:t xml:space="preserve">　</w:t>
      </w:r>
    </w:p>
    <w:p w14:paraId="25003051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</w:p>
    <w:p w14:paraId="134A4EFF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>７　結果の具体的数字</w:t>
      </w:r>
    </w:p>
    <w:p w14:paraId="24C54FA0" w14:textId="77777777" w:rsidR="00E85F19" w:rsidRPr="00E85F19" w:rsidRDefault="00E85F19" w:rsidP="00E85F19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2"/>
        </w:rPr>
      </w:pPr>
      <w:r w:rsidRPr="00E85F19">
        <w:rPr>
          <w:rFonts w:hint="eastAsia"/>
        </w:rPr>
        <w:t xml:space="preserve">　　生育経過、収穫量及び品質、病害虫の発生程度など</w:t>
      </w:r>
    </w:p>
    <w:p w14:paraId="408C6F70" w14:textId="77777777" w:rsidR="00E85F19" w:rsidRPr="00E85F19" w:rsidRDefault="00E85F19">
      <w:pPr>
        <w:pStyle w:val="a3"/>
        <w:adjustRightInd/>
      </w:pPr>
    </w:p>
    <w:p w14:paraId="669BEC02" w14:textId="77777777" w:rsidR="00E85F19" w:rsidRDefault="00E85F19">
      <w:pPr>
        <w:pStyle w:val="a3"/>
        <w:adjustRightInd/>
        <w:rPr>
          <w:rFonts w:hAnsi="Times New Roman" w:cs="Times New Roman"/>
          <w:spacing w:val="2"/>
        </w:rPr>
      </w:pPr>
    </w:p>
    <w:sectPr w:rsidR="00E85F19">
      <w:type w:val="continuous"/>
      <w:pgSz w:w="11906" w:h="16838"/>
      <w:pgMar w:top="1412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B31DD" w14:textId="77777777" w:rsidR="008F0CE5" w:rsidRDefault="008F0CE5">
      <w:r>
        <w:separator/>
      </w:r>
    </w:p>
  </w:endnote>
  <w:endnote w:type="continuationSeparator" w:id="0">
    <w:p w14:paraId="7F74DB78" w14:textId="77777777" w:rsidR="008F0CE5" w:rsidRDefault="008F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0A1D4" w14:textId="77777777" w:rsidR="008F0CE5" w:rsidRDefault="008F0CE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3A08AE" w14:textId="77777777" w:rsidR="008F0CE5" w:rsidRDefault="008F0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646"/>
  <w:hyphenationZone w:val="284"/>
  <w:drawingGridHorizontalSpacing w:val="1228"/>
  <w:drawingGridVerticalSpacing w:val="34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52DA"/>
    <w:rsid w:val="000B07C5"/>
    <w:rsid w:val="00157C8B"/>
    <w:rsid w:val="0017170B"/>
    <w:rsid w:val="00220228"/>
    <w:rsid w:val="00384ECF"/>
    <w:rsid w:val="003B1E07"/>
    <w:rsid w:val="00404285"/>
    <w:rsid w:val="004E1CF8"/>
    <w:rsid w:val="00642C17"/>
    <w:rsid w:val="007E7E26"/>
    <w:rsid w:val="008B24DF"/>
    <w:rsid w:val="008F0CE5"/>
    <w:rsid w:val="00A452DA"/>
    <w:rsid w:val="00AB0833"/>
    <w:rsid w:val="00E85F19"/>
    <w:rsid w:val="00F32AA9"/>
    <w:rsid w:val="00FD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3DB98631"/>
  <w14:defaultImageDpi w14:val="0"/>
  <w15:docId w15:val="{4E549139-C652-4634-A962-7B23DD16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918</Characters>
  <Application>Microsoft Office Word</Application>
  <DocSecurity>0</DocSecurity>
  <Lines>7</Lines>
  <Paragraphs>2</Paragraphs>
  <ScaleCrop>false</ScaleCrop>
  <Company>新潟県農林公社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普及展示ほ野菜設計書</dc:title>
  <dc:subject/>
  <dc:creator>ikusei</dc:creator>
  <cp:keywords/>
  <dc:description/>
  <cp:lastModifiedBy>新潟県</cp:lastModifiedBy>
  <cp:revision>3</cp:revision>
  <cp:lastPrinted>2005-04-14T05:22:00Z</cp:lastPrinted>
  <dcterms:created xsi:type="dcterms:W3CDTF">2025-02-12T05:59:00Z</dcterms:created>
  <dcterms:modified xsi:type="dcterms:W3CDTF">2025-02-12T06:06:00Z</dcterms:modified>
</cp:coreProperties>
</file>